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36" w:rsidRPr="00702C51" w:rsidRDefault="00702C51" w:rsidP="00F70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51">
        <w:rPr>
          <w:rFonts w:ascii="Times New Roman" w:hAnsi="Times New Roman" w:cs="Times New Roman"/>
          <w:b/>
          <w:sz w:val="24"/>
          <w:szCs w:val="24"/>
        </w:rPr>
        <w:t>STAVLJANJE NA TRŽŠTE RH HRANE SA ZDRAVSTVENIM TVRDNJAMA</w:t>
      </w:r>
    </w:p>
    <w:p w:rsidR="00F701FA" w:rsidRDefault="00F701FA" w:rsidP="00BE4F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36" w:rsidRPr="00702C51" w:rsidRDefault="00BE4F36" w:rsidP="00BE4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51">
        <w:rPr>
          <w:rFonts w:ascii="Times New Roman" w:hAnsi="Times New Roman" w:cs="Times New Roman"/>
          <w:b/>
          <w:sz w:val="24"/>
          <w:szCs w:val="24"/>
        </w:rPr>
        <w:t>UVOD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Style w:val="kurziv1"/>
          <w:rFonts w:ascii="Times New Roman" w:hAnsi="Times New Roman" w:cs="Times New Roman"/>
          <w:color w:val="000000"/>
          <w:sz w:val="24"/>
          <w:szCs w:val="24"/>
        </w:rPr>
        <w:t>»Zdravstvena tvrdnja«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jest svaka tvrdnja kojom se izjavljuje, sugerira ili navodi na zaključak da kategorija hrane, određena hrana ili sastojak hrane utječe na zdravlje ljudi.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Uvjeti označavanja, reklamiranja i prezentiranja hrane s prehrambenim ili zdravstvenim tvrdnjama </w:t>
      </w:r>
      <w:r w:rsidR="00702C51" w:rsidRPr="00702C51">
        <w:rPr>
          <w:rFonts w:ascii="Times New Roman" w:hAnsi="Times New Roman" w:cs="Times New Roman"/>
          <w:color w:val="000000"/>
          <w:sz w:val="24"/>
          <w:szCs w:val="24"/>
        </w:rPr>
        <w:t>propisani su u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Pravilniku o prehrambenim i zdravstvenim tvrdnjama te se primjenjuju na sve oblike komercijalne komunikacije.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Ukoliko neki proizvod ima trgovački naziv, naziv marke proizvoda (»robna marka«) ili izmišljeni naziv koji se koristi prilikom označavanja, reklamiranja i prezentiranja hrane, a tumači se kao prehrambena i zdravstvena tvrdnja iste se može koristiti pod uvjetom da se uz takav naziv hrane navodi i prehrambena ili zdravstvena tvrdnja na koju on upućuje te da je tvrdnja sukladna odredbama ovoga Pravilnika.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Iznimno, hrana koja ima trgovački naziv ili naziv marke proizvoda (»robna marka«) koji su postojali i prije 1. siječnja 2005., a koji nisu usklađeni s ovim Pravilnikom, mogu se  stavljati na tržište sve do 19. siječnja 2022., nakon čega se moraju uskladiti s odredbama ovoga Pravilnika.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Upućivanja na opće, nespecifične koristi hranjive tvari ili proizvoda za opće zdravlje ili dobrobit u vezi sa zdravljem, 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kao i korištenje općih nespecifičnih tvrdnji (npr. za zdravlje kostiju)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dopušten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o je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samo ako 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popraćen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specifičnom odobrenom zdravstvenom tvrdnjom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ali mora postojati veza između opće i specifične odobrene tvrdnje.</w:t>
      </w:r>
      <w:r w:rsidR="00F36646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Takva odobrena tvrdnja bi trebala biti navedena u neposrednoj blizini opće nespecifične tvrdnje.  </w:t>
      </w:r>
    </w:p>
    <w:p w:rsidR="00711F5D" w:rsidRPr="00702C51" w:rsidRDefault="00711F5D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Zdravstvena tvrdnja mora se uvijek navoditi za hranjivu tvar, hranu ili kategoriju hrane za koju je odobrena a ne za proizvod koji sadrži ist</w:t>
      </w:r>
      <w:r w:rsidR="00702C51" w:rsidRPr="00702C5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6646" w:rsidRPr="00702C51" w:rsidRDefault="00F3664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Prilikom navođenja zdravstvene tvrdnje moraju se pružiti sljedeće informacije:</w:t>
      </w:r>
    </w:p>
    <w:p w:rsidR="00F36646" w:rsidRPr="00702C51" w:rsidRDefault="00145758" w:rsidP="00F366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Hranjiva vrijednost sukladno članku</w:t>
      </w:r>
      <w:r w:rsidR="00F36646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145758" w:rsidRPr="00702C51" w:rsidRDefault="00145758" w:rsidP="00145758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702C51">
        <w:rPr>
          <w:color w:val="000000"/>
        </w:rPr>
        <w:t>Sukladno čl. 10. Stavak 3.</w:t>
      </w:r>
    </w:p>
    <w:p w:rsidR="00145758" w:rsidRPr="00702C51" w:rsidRDefault="00145758" w:rsidP="00145758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702C51">
        <w:rPr>
          <w:color w:val="000000"/>
        </w:rPr>
        <w:t>izjava kojom se ukazuje na važnost uravnotežene i raznovrsne prehrane i zdravog načina života,</w:t>
      </w:r>
    </w:p>
    <w:p w:rsidR="00145758" w:rsidRPr="00702C51" w:rsidRDefault="00145758" w:rsidP="00145758">
      <w:pPr>
        <w:pStyle w:val="t-9-8"/>
        <w:ind w:left="720"/>
        <w:jc w:val="both"/>
        <w:rPr>
          <w:color w:val="000000"/>
        </w:rPr>
      </w:pPr>
      <w:r w:rsidRPr="00702C51">
        <w:rPr>
          <w:color w:val="000000"/>
        </w:rPr>
        <w:t>b) količina hrane i način njezine konzumacije koji su potrebni za dobivanje korisnog učinka kakav se tvrdi da ta hrana ima,</w:t>
      </w:r>
    </w:p>
    <w:p w:rsidR="00145758" w:rsidRPr="00702C51" w:rsidRDefault="00145758" w:rsidP="00145758">
      <w:pPr>
        <w:pStyle w:val="t-9-8"/>
        <w:ind w:left="720"/>
        <w:jc w:val="both"/>
        <w:rPr>
          <w:color w:val="000000"/>
        </w:rPr>
      </w:pPr>
      <w:r w:rsidRPr="00702C51">
        <w:rPr>
          <w:color w:val="000000"/>
        </w:rPr>
        <w:t>c) tamo gdje je to primjenjivo, izjava za osobe koje bi trebale izbjegavati tu hranu,</w:t>
      </w:r>
    </w:p>
    <w:p w:rsidR="00145758" w:rsidRPr="00702C51" w:rsidRDefault="00145758" w:rsidP="00145758">
      <w:pPr>
        <w:pStyle w:val="t-9-8"/>
        <w:ind w:left="720"/>
        <w:jc w:val="both"/>
        <w:rPr>
          <w:color w:val="000000"/>
        </w:rPr>
      </w:pPr>
      <w:r w:rsidRPr="00702C51">
        <w:rPr>
          <w:color w:val="000000"/>
        </w:rPr>
        <w:t>d) odgovarajuće upozorenje za proizvode za koje postoji vjerojatnost da predstavljaju opasnost za zdravlje u slučaju pretjerane konzumacije</w:t>
      </w:r>
    </w:p>
    <w:p w:rsidR="00145758" w:rsidRPr="001F15D1" w:rsidRDefault="00314BA3" w:rsidP="001F15D1">
      <w:pPr>
        <w:pStyle w:val="t-9-8"/>
        <w:ind w:firstLine="708"/>
        <w:jc w:val="both"/>
        <w:rPr>
          <w:color w:val="000000"/>
        </w:rPr>
      </w:pPr>
      <w:r w:rsidRPr="00702C51">
        <w:rPr>
          <w:color w:val="000000"/>
        </w:rPr>
        <w:lastRenderedPageBreak/>
        <w:t>- ukoliko se navodi tvrdnja o smanjenje rizika od bolesti (članak 14.) pri označavanju, reklamiranju i prezentiranju hrane mora se navesti izjava koja navodi da bolest na koju se tvrdnja odnosi ima višestruke faktore rizika te da mijenjanje jednog od tih faktora rizika može, ali i ne mora imati koristan učinak.</w:t>
      </w:r>
    </w:p>
    <w:p w:rsidR="00145758" w:rsidRPr="00702C51" w:rsidRDefault="00145758" w:rsidP="00145758">
      <w:pPr>
        <w:pStyle w:val="t-9-8"/>
        <w:jc w:val="both"/>
        <w:rPr>
          <w:rFonts w:eastAsia="Batang"/>
          <w:b/>
          <w:color w:val="000000"/>
        </w:rPr>
      </w:pPr>
      <w:r w:rsidRPr="00702C51">
        <w:rPr>
          <w:rFonts w:eastAsia="Batang"/>
          <w:b/>
          <w:color w:val="000000"/>
        </w:rPr>
        <w:t>STAVLJANJE NA TRŽIŠTE</w:t>
      </w:r>
    </w:p>
    <w:p w:rsidR="00145758" w:rsidRPr="00702C51" w:rsidRDefault="00145758" w:rsidP="00145758">
      <w:pPr>
        <w:pStyle w:val="t-9-8"/>
        <w:jc w:val="both"/>
        <w:rPr>
          <w:rFonts w:eastAsia="Batang"/>
          <w:b/>
          <w:color w:val="000000"/>
        </w:rPr>
      </w:pPr>
      <w:r w:rsidRPr="00702C51">
        <w:rPr>
          <w:rFonts w:eastAsia="Batang"/>
          <w:b/>
          <w:color w:val="000000"/>
        </w:rPr>
        <w:t>6a PODNOŠENJE OBAVIJESTI</w:t>
      </w:r>
    </w:p>
    <w:p w:rsidR="00145758" w:rsidRPr="00AC5363" w:rsidRDefault="00314BA3" w:rsidP="00145758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Radi učinkovitog </w:t>
      </w:r>
      <w:proofErr w:type="spellStart"/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>monitoringa</w:t>
      </w:r>
      <w:proofErr w:type="spellEnd"/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hrane na kojoj su navedene zdravstvene tvrdnje koje su u skladu s Prilogom II. Pravilnika o prehrambenim i zdravstvenim tvrdnjama, subjekt u poslovanju s hranom, prilikom prvog stavljanja takve hrane na tržište Republike Hrvatske, mora o tome obavijestiti Ministarstvo.</w:t>
      </w:r>
    </w:p>
    <w:p w:rsidR="00145758" w:rsidRDefault="00314BA3" w:rsidP="0014575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>O</w:t>
      </w:r>
      <w:r w:rsidR="00145758"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bavijest o stavljanju </w:t>
      </w: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>hrane sa zdravstvenom tvrdnjom</w:t>
      </w:r>
      <w:r w:rsidR="00145758"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na </w:t>
      </w: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tržište Republike Hrvatske dostavlja se na </w:t>
      </w:r>
      <w:r w:rsidR="00145758"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mail </w:t>
      </w:r>
      <w:hyperlink r:id="rId6" w:history="1">
        <w:r w:rsidR="00145758" w:rsidRPr="00AC5363">
          <w:rPr>
            <w:rStyle w:val="Hiperveza"/>
            <w:rFonts w:ascii="Times New Roman" w:eastAsia="Batang" w:hAnsi="Times New Roman" w:cs="Times New Roman"/>
            <w:sz w:val="24"/>
            <w:szCs w:val="24"/>
          </w:rPr>
          <w:t>dodaci.prehrani@miz.hr</w:t>
        </w:r>
      </w:hyperlink>
      <w:r w:rsidR="00145758" w:rsidRPr="00AC5363">
        <w:rPr>
          <w:rFonts w:ascii="Times New Roman" w:eastAsia="Batang" w:hAnsi="Times New Roman" w:cs="Times New Roman"/>
          <w:sz w:val="24"/>
          <w:szCs w:val="24"/>
        </w:rPr>
        <w:t xml:space="preserve"> te u privitku trebaju dostaviti:</w:t>
      </w:r>
    </w:p>
    <w:p w:rsidR="001F15D1" w:rsidRPr="00AC5363" w:rsidRDefault="001F15D1" w:rsidP="00145758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ispunjen OBRAZAC-ZT-1</w:t>
      </w:r>
    </w:p>
    <w:p w:rsidR="00145758" w:rsidRPr="00AC5363" w:rsidRDefault="00145758" w:rsidP="00145758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>- tekst koji označava proizvod na hrvatskom jeziku,</w:t>
      </w:r>
    </w:p>
    <w:p w:rsidR="00145758" w:rsidRDefault="00145758" w:rsidP="00145758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>- idejno rješenje ambalaže,</w:t>
      </w:r>
    </w:p>
    <w:p w:rsidR="00314BA3" w:rsidRPr="00AC5363" w:rsidRDefault="00145758" w:rsidP="00145758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- presliku uplatnice za </w:t>
      </w:r>
      <w:r w:rsidR="00314BA3"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pokrivanje troškova </w:t>
      </w:r>
      <w:proofErr w:type="spellStart"/>
      <w:r w:rsidR="00314BA3"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>monitoringa</w:t>
      </w:r>
      <w:proofErr w:type="spellEnd"/>
    </w:p>
    <w:p w:rsidR="00145758" w:rsidRPr="00AC5363" w:rsidRDefault="00145758" w:rsidP="00145758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>UPLATA TROŠKOVA MONITORINGA:</w:t>
      </w:r>
    </w:p>
    <w:p w:rsidR="00145758" w:rsidRPr="00AC5363" w:rsidRDefault="00145758" w:rsidP="0014575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C5363">
        <w:rPr>
          <w:rFonts w:ascii="Times New Roman" w:eastAsia="Batang" w:hAnsi="Times New Roman" w:cs="Times New Roman"/>
          <w:sz w:val="24"/>
          <w:szCs w:val="24"/>
        </w:rPr>
        <w:t xml:space="preserve">Primatelj : </w:t>
      </w:r>
      <w:r w:rsidRPr="00AC5363">
        <w:rPr>
          <w:rFonts w:ascii="Times New Roman" w:eastAsia="Batang" w:hAnsi="Times New Roman" w:cs="Times New Roman"/>
          <w:i/>
          <w:sz w:val="24"/>
          <w:szCs w:val="24"/>
        </w:rPr>
        <w:t>DRŽAVNI PRORAČUN</w:t>
      </w:r>
    </w:p>
    <w:p w:rsidR="00145758" w:rsidRPr="00AC5363" w:rsidRDefault="00145758" w:rsidP="0014575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C5363">
        <w:rPr>
          <w:rFonts w:ascii="Times New Roman" w:eastAsia="Batang" w:hAnsi="Times New Roman" w:cs="Times New Roman"/>
          <w:sz w:val="24"/>
          <w:szCs w:val="24"/>
        </w:rPr>
        <w:t xml:space="preserve">Svrha uplate: </w:t>
      </w:r>
      <w:r w:rsidRPr="00AC5363">
        <w:rPr>
          <w:rFonts w:ascii="Times New Roman" w:eastAsia="Batang" w:hAnsi="Times New Roman" w:cs="Times New Roman"/>
          <w:i/>
          <w:sz w:val="24"/>
          <w:szCs w:val="24"/>
        </w:rPr>
        <w:t xml:space="preserve">Troškovi </w:t>
      </w:r>
      <w:proofErr w:type="spellStart"/>
      <w:r w:rsidRPr="00AC5363">
        <w:rPr>
          <w:rFonts w:ascii="Times New Roman" w:eastAsia="Batang" w:hAnsi="Times New Roman" w:cs="Times New Roman"/>
          <w:i/>
          <w:sz w:val="24"/>
          <w:szCs w:val="24"/>
        </w:rPr>
        <w:t>monitoringa</w:t>
      </w:r>
      <w:proofErr w:type="spellEnd"/>
      <w:r w:rsidRPr="00AC5363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Pr="00AC5363">
        <w:rPr>
          <w:rFonts w:ascii="Times New Roman" w:eastAsia="Batang" w:hAnsi="Times New Roman" w:cs="Times New Roman"/>
          <w:b/>
          <w:i/>
          <w:color w:val="993300"/>
          <w:sz w:val="24"/>
          <w:szCs w:val="24"/>
          <w:u w:val="single"/>
        </w:rPr>
        <w:t>naziv proizvoda</w:t>
      </w:r>
      <w:r w:rsidRPr="00AC5363">
        <w:rPr>
          <w:rFonts w:ascii="Times New Roman" w:eastAsia="Batang" w:hAnsi="Times New Roman" w:cs="Times New Roman"/>
          <w:color w:val="993300"/>
          <w:sz w:val="24"/>
          <w:szCs w:val="24"/>
        </w:rPr>
        <w:t xml:space="preserve"> </w:t>
      </w:r>
      <w:r w:rsidRPr="00AC5363">
        <w:rPr>
          <w:rFonts w:ascii="Times New Roman" w:eastAsia="Batang" w:hAnsi="Times New Roman" w:cs="Times New Roman"/>
          <w:sz w:val="24"/>
          <w:szCs w:val="24"/>
        </w:rPr>
        <w:t>(obavezno navesti)</w:t>
      </w:r>
    </w:p>
    <w:p w:rsidR="00145758" w:rsidRPr="00AC5363" w:rsidRDefault="00145758" w:rsidP="0014575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C5363">
        <w:rPr>
          <w:rFonts w:ascii="Times New Roman" w:eastAsia="Batang" w:hAnsi="Times New Roman" w:cs="Times New Roman"/>
          <w:sz w:val="24"/>
          <w:szCs w:val="24"/>
        </w:rPr>
        <w:t>Broj žiro-računa: 1001005 – 1863000160</w:t>
      </w:r>
    </w:p>
    <w:p w:rsidR="00145758" w:rsidRPr="00AC5363" w:rsidRDefault="00145758" w:rsidP="0014575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C5363">
        <w:rPr>
          <w:rFonts w:ascii="Times New Roman" w:eastAsia="Batang" w:hAnsi="Times New Roman" w:cs="Times New Roman"/>
          <w:sz w:val="24"/>
          <w:szCs w:val="24"/>
        </w:rPr>
        <w:t xml:space="preserve">Model: </w:t>
      </w:r>
      <w:r w:rsidR="00F701FA" w:rsidRPr="00702C51">
        <w:rPr>
          <w:rFonts w:ascii="Times New Roman" w:hAnsi="Times New Roman" w:cs="Times New Roman"/>
          <w:sz w:val="24"/>
          <w:szCs w:val="24"/>
        </w:rPr>
        <w:t>62</w:t>
      </w:r>
    </w:p>
    <w:p w:rsidR="00145758" w:rsidRPr="00AC5363" w:rsidRDefault="00145758" w:rsidP="00145758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C5363">
        <w:rPr>
          <w:rFonts w:ascii="Times New Roman" w:eastAsia="Batang" w:hAnsi="Times New Roman" w:cs="Times New Roman"/>
          <w:sz w:val="24"/>
          <w:szCs w:val="24"/>
        </w:rPr>
        <w:t xml:space="preserve">Poziv na broj: </w:t>
      </w:r>
      <w:r w:rsidR="00F701FA" w:rsidRPr="00702C51">
        <w:rPr>
          <w:rFonts w:ascii="Times New Roman" w:hAnsi="Times New Roman" w:cs="Times New Roman"/>
          <w:sz w:val="24"/>
          <w:szCs w:val="24"/>
        </w:rPr>
        <w:t xml:space="preserve">7005-47107-100935    </w:t>
      </w:r>
    </w:p>
    <w:p w:rsidR="00145758" w:rsidRDefault="00314BA3" w:rsidP="00314BA3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701FA">
        <w:rPr>
          <w:rFonts w:ascii="Times New Roman" w:eastAsia="Batang" w:hAnsi="Times New Roman" w:cs="Times New Roman"/>
          <w:sz w:val="24"/>
          <w:szCs w:val="24"/>
        </w:rPr>
        <w:t xml:space="preserve">Iznos: </w:t>
      </w:r>
      <w:r w:rsidR="00F701FA" w:rsidRPr="00F701FA">
        <w:rPr>
          <w:rFonts w:ascii="Times New Roman" w:eastAsia="Batang" w:hAnsi="Times New Roman" w:cs="Times New Roman"/>
          <w:sz w:val="24"/>
          <w:szCs w:val="24"/>
        </w:rPr>
        <w:t xml:space="preserve">500,00 </w:t>
      </w:r>
      <w:r w:rsidRPr="00F701FA">
        <w:rPr>
          <w:rFonts w:ascii="Times New Roman" w:eastAsia="Batang" w:hAnsi="Times New Roman" w:cs="Times New Roman"/>
          <w:sz w:val="24"/>
          <w:szCs w:val="24"/>
        </w:rPr>
        <w:t>kn</w:t>
      </w:r>
    </w:p>
    <w:p w:rsidR="00902AD3" w:rsidRPr="00902AD3" w:rsidRDefault="00902AD3" w:rsidP="00902AD3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02AD3">
        <w:rPr>
          <w:rFonts w:ascii="Times New Roman" w:eastAsia="Batang" w:hAnsi="Times New Roman" w:cs="Times New Roman"/>
          <w:b/>
          <w:sz w:val="24"/>
          <w:szCs w:val="24"/>
        </w:rPr>
        <w:t>Podnošenje obavijesti iz stavka 1. ovoga članka, kao i izdavanje potvrda o zaprimljenoj obavijesti, obavlja se isključivo elektroničkim putem</w:t>
      </w:r>
      <w:r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702C51" w:rsidRPr="00F701FA" w:rsidRDefault="00145758" w:rsidP="00BE4F36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Ukoliko je dostavljena obavijest potpuna na mail će biti dostavljena potvrda o zaprimljenoj obavijesti. Navedena potvrda ne potvrđuje sukladnost proizvoda s propisima o hrani. Sukladno članku 19. stavku 1. Zakona o hrani (Narodne novine br. 46/07 i 55/11) subjekt u poslovanju s hranom u svim fazama proizvodnje, prerade i distribucije hrane mora osigurati da hrana udovoljava propisima o hrani. Sukladno članku 5. stavku 1. Pravilnika o označavanju, reklamiranju i prezentiranju hrane (Narodne novine br. 63/11 i 79/11) za označavanje zapakirane hrane odgovoran je subjekt u poslovanju s hranom iz članka 6. stavka 1. točke 7. navedenoga Pravilnika, odnosno sukladno Pravilnika o informiranju potrošača </w:t>
      </w:r>
      <w:r w:rsidRPr="00AC5363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(Narodne novine br. 8/13) odgovoran je subjekt u poslovanju s hranom iz članka 8. istog pravilnika.</w:t>
      </w:r>
    </w:p>
    <w:p w:rsidR="00702C51" w:rsidRDefault="00702C51" w:rsidP="00BE4F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F5D" w:rsidRPr="00702C51" w:rsidRDefault="00314BA3" w:rsidP="00BE4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51">
        <w:rPr>
          <w:rFonts w:ascii="Times New Roman" w:hAnsi="Times New Roman" w:cs="Times New Roman"/>
          <w:b/>
          <w:sz w:val="24"/>
          <w:szCs w:val="24"/>
        </w:rPr>
        <w:t>ZAHTJEV ZA IZDAVANJE NOTIFIKACIJSKOG BROJA</w:t>
      </w:r>
    </w:p>
    <w:p w:rsidR="00314BA3" w:rsidRPr="00AC5363" w:rsidRDefault="00351184" w:rsidP="00BE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5363">
        <w:rPr>
          <w:rFonts w:ascii="Times New Roman" w:hAnsi="Times New Roman" w:cs="Times New Roman"/>
          <w:sz w:val="24"/>
          <w:szCs w:val="24"/>
        </w:rPr>
        <w:t>T</w:t>
      </w:r>
      <w:r w:rsidR="00314BA3" w:rsidRPr="00AC5363">
        <w:rPr>
          <w:rFonts w:ascii="Times New Roman" w:hAnsi="Times New Roman" w:cs="Times New Roman"/>
          <w:sz w:val="24"/>
          <w:szCs w:val="24"/>
        </w:rPr>
        <w:t xml:space="preserve">vrdnje za koje još nije dovršena procjena EFSA-e i/ili razmatranje Europske komisije tzv. „on </w:t>
      </w:r>
      <w:proofErr w:type="spellStart"/>
      <w:r w:rsidR="00314BA3" w:rsidRPr="00AC5363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314BA3" w:rsidRPr="00AC5363">
        <w:rPr>
          <w:rFonts w:ascii="Times New Roman" w:hAnsi="Times New Roman" w:cs="Times New Roman"/>
          <w:sz w:val="24"/>
          <w:szCs w:val="24"/>
        </w:rPr>
        <w:t xml:space="preserve">“ tvrdnje (to su uglavnom tvrdnje koje se odnose na biljne vrste) moći će se koristiti uz prethodno ishođenje </w:t>
      </w:r>
      <w:proofErr w:type="spellStart"/>
      <w:r w:rsidR="00314BA3" w:rsidRPr="00AC5363">
        <w:rPr>
          <w:rFonts w:ascii="Times New Roman" w:hAnsi="Times New Roman" w:cs="Times New Roman"/>
          <w:sz w:val="24"/>
          <w:szCs w:val="24"/>
        </w:rPr>
        <w:t>notifikacijskog</w:t>
      </w:r>
      <w:proofErr w:type="spellEnd"/>
      <w:r w:rsidR="00314BA3" w:rsidRPr="00AC5363">
        <w:rPr>
          <w:rFonts w:ascii="Times New Roman" w:hAnsi="Times New Roman" w:cs="Times New Roman"/>
          <w:sz w:val="24"/>
          <w:szCs w:val="24"/>
        </w:rPr>
        <w:t xml:space="preserve"> broja od Ministarstva zdravlja ali samo dok Europska komisija ne donese konačnu odluku. Listu on </w:t>
      </w:r>
      <w:proofErr w:type="spellStart"/>
      <w:r w:rsidR="00314BA3" w:rsidRPr="00AC5363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314BA3" w:rsidRPr="00AC5363">
        <w:rPr>
          <w:rFonts w:ascii="Times New Roman" w:hAnsi="Times New Roman" w:cs="Times New Roman"/>
          <w:sz w:val="24"/>
          <w:szCs w:val="24"/>
        </w:rPr>
        <w:t xml:space="preserve"> tvrdnji možete naći na </w:t>
      </w:r>
      <w:hyperlink r:id="rId7" w:history="1">
        <w:r w:rsidRPr="00AC5363">
          <w:rPr>
            <w:rStyle w:val="Hiperveza"/>
            <w:rFonts w:ascii="Times New Roman" w:hAnsi="Times New Roman" w:cs="Times New Roman"/>
            <w:sz w:val="24"/>
            <w:szCs w:val="24"/>
          </w:rPr>
          <w:t>http://registerofquestions.efsa.europa.eu/roqFrontend/questionsListLoader?panel=NDA&amp;foodsectorarea=26</w:t>
        </w:r>
      </w:hyperlink>
      <w:r w:rsidRPr="00AC5363">
        <w:rPr>
          <w:rFonts w:ascii="Times New Roman" w:hAnsi="Times New Roman" w:cs="Times New Roman"/>
          <w:sz w:val="24"/>
          <w:szCs w:val="24"/>
        </w:rPr>
        <w:t xml:space="preserve"> . </w:t>
      </w:r>
      <w:r w:rsidR="00314BA3" w:rsidRPr="00AC5363">
        <w:rPr>
          <w:rFonts w:ascii="Times New Roman" w:hAnsi="Times New Roman" w:cs="Times New Roman"/>
          <w:sz w:val="24"/>
          <w:szCs w:val="24"/>
        </w:rPr>
        <w:t xml:space="preserve">Činjenica da se određena tvrdnja nalazi na „on </w:t>
      </w:r>
      <w:proofErr w:type="spellStart"/>
      <w:r w:rsidR="00314BA3" w:rsidRPr="00AC5363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314BA3" w:rsidRPr="00AC5363">
        <w:rPr>
          <w:rFonts w:ascii="Times New Roman" w:hAnsi="Times New Roman" w:cs="Times New Roman"/>
          <w:sz w:val="24"/>
          <w:szCs w:val="24"/>
        </w:rPr>
        <w:t xml:space="preserve">“  listi ne znači da će ta tvrdnja biti automatski odobrena, nego će u svakom pojedinom slučaju o tome odlučivati povjerenstvo. Povjerenstvo neće razmatrati tvrdnje koje se ne nalaze na listi „on </w:t>
      </w:r>
      <w:proofErr w:type="spellStart"/>
      <w:r w:rsidR="00314BA3" w:rsidRPr="00AC5363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="00314BA3" w:rsidRPr="00AC5363">
        <w:rPr>
          <w:rFonts w:ascii="Times New Roman" w:hAnsi="Times New Roman" w:cs="Times New Roman"/>
          <w:sz w:val="24"/>
          <w:szCs w:val="24"/>
        </w:rPr>
        <w:t>“ tvrdnji, kao ni tvrdnje koje nisu odobrene (http://ec.europa.eu/</w:t>
      </w:r>
      <w:proofErr w:type="spellStart"/>
      <w:r w:rsidR="00314BA3" w:rsidRPr="00AC5363">
        <w:rPr>
          <w:rFonts w:ascii="Times New Roman" w:hAnsi="Times New Roman" w:cs="Times New Roman"/>
          <w:sz w:val="24"/>
          <w:szCs w:val="24"/>
        </w:rPr>
        <w:t>nuhclaims</w:t>
      </w:r>
      <w:proofErr w:type="spellEnd"/>
      <w:r w:rsidR="00314BA3" w:rsidRPr="00AC5363">
        <w:rPr>
          <w:rFonts w:ascii="Times New Roman" w:hAnsi="Times New Roman" w:cs="Times New Roman"/>
          <w:sz w:val="24"/>
          <w:szCs w:val="24"/>
        </w:rPr>
        <w:t>/ ).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 xml:space="preserve">Uz zahtjev za izdavanje </w:t>
      </w:r>
      <w:proofErr w:type="spellStart"/>
      <w:r w:rsidRPr="00AC5363">
        <w:rPr>
          <w:color w:val="000000"/>
        </w:rPr>
        <w:t>notifikacijskog</w:t>
      </w:r>
      <w:proofErr w:type="spellEnd"/>
      <w:r w:rsidRPr="00AC5363">
        <w:rPr>
          <w:color w:val="000000"/>
        </w:rPr>
        <w:t xml:space="preserve"> broja potrebno je navedenim slijedom priložiti sljedeću dokumentaciju: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>1. naziv i adresu podnositelja zahtjeva, te dokaz da je registriran u Republici Hrvatskoj,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>2. podatke koji označavaju proizvod na hrvatskom jeziku, sa prijedlogom formulacije zdravstvene tvrdnje, uključujući u svakome pojedinome slučaju i specifične uvjete za uporabu,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>3. originalnu ambalažu ili idejno rješenje ambalaže,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>4. podatke o količini hranjive ili druge tvari temeljem koje se navodi zdravstvena tvrdnja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 xml:space="preserve">5. </w:t>
      </w:r>
      <w:r w:rsidRPr="00AC5363">
        <w:t>identifikacijski broj (ID) pod kojim se tvrdnja nalazi na konsolidiranoj listi tvrdnji iz članka 13.1 Uredbe 1924/2006 od 20 prosinca 2006.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>6. ostalu dokumentaciju i/ili analitička izvješća koja Povjerenstvo iz članka 17. ovoga Pravilnika zatraži,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>7. podatke o proizvođaču,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>8. presliku uplatnice za pokrivanje troškova postupka odobravanja.</w:t>
      </w:r>
    </w:p>
    <w:p w:rsidR="00351184" w:rsidRPr="00AC5363" w:rsidRDefault="00351184" w:rsidP="00351184">
      <w:pPr>
        <w:pStyle w:val="t-9-8"/>
        <w:jc w:val="both"/>
        <w:rPr>
          <w:color w:val="000000"/>
        </w:rPr>
      </w:pPr>
      <w:r w:rsidRPr="00AC5363">
        <w:rPr>
          <w:color w:val="000000"/>
        </w:rPr>
        <w:t xml:space="preserve">Zahtjev za izdavanje </w:t>
      </w:r>
      <w:proofErr w:type="spellStart"/>
      <w:r w:rsidRPr="00AC5363">
        <w:rPr>
          <w:color w:val="000000"/>
        </w:rPr>
        <w:t>notifikacijskog</w:t>
      </w:r>
      <w:proofErr w:type="spellEnd"/>
      <w:r w:rsidRPr="00AC5363">
        <w:rPr>
          <w:color w:val="000000"/>
        </w:rPr>
        <w:t xml:space="preserve"> broja se podnosi u pisanom obliku Ministarstvu.</w:t>
      </w:r>
    </w:p>
    <w:p w:rsidR="00F701FA" w:rsidRPr="00AC5363" w:rsidRDefault="00F701FA" w:rsidP="00F7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63">
        <w:rPr>
          <w:rFonts w:ascii="Times New Roman" w:hAnsi="Times New Roman" w:cs="Times New Roman"/>
          <w:b/>
          <w:sz w:val="24"/>
          <w:szCs w:val="24"/>
        </w:rPr>
        <w:t xml:space="preserve">Podnošenje obavijesti i zahtjevi za notifikaciju hrane na kojoj su navedene zdravstvene tvrdnje ne primjenjuje se na dodatke prehrani jer će se oni rješavati u postupku podnošenja obavijesti i zahtjeva za </w:t>
      </w:r>
      <w:proofErr w:type="spellStart"/>
      <w:r w:rsidRPr="00AC5363">
        <w:rPr>
          <w:rFonts w:ascii="Times New Roman" w:hAnsi="Times New Roman" w:cs="Times New Roman"/>
          <w:b/>
          <w:sz w:val="24"/>
          <w:szCs w:val="24"/>
        </w:rPr>
        <w:t>notifikacijskim</w:t>
      </w:r>
      <w:proofErr w:type="spellEnd"/>
      <w:r w:rsidRPr="00AC5363">
        <w:rPr>
          <w:rFonts w:ascii="Times New Roman" w:hAnsi="Times New Roman" w:cs="Times New Roman"/>
          <w:b/>
          <w:sz w:val="24"/>
          <w:szCs w:val="24"/>
        </w:rPr>
        <w:t xml:space="preserve"> brojem dodataka prehrani.</w:t>
      </w:r>
    </w:p>
    <w:p w:rsidR="00F701FA" w:rsidRDefault="00F701FA" w:rsidP="0035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FA" w:rsidRDefault="00F701FA" w:rsidP="0035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184" w:rsidRPr="00AC5363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AC5363">
        <w:rPr>
          <w:rFonts w:ascii="Times New Roman" w:hAnsi="Times New Roman" w:cs="Times New Roman"/>
          <w:sz w:val="24"/>
          <w:szCs w:val="24"/>
        </w:rPr>
        <w:lastRenderedPageBreak/>
        <w:t>UPLATA TROŠKOVA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 xml:space="preserve">1. UPLATA TROŠKOVA ZA RAD POVJERENSTVA 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Primatelj : DRŽAVNI PRORAČUN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Svrha uplate: Troškovi notifikacije naziv proizvoda (obavezno navesti)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Broj žiro-računa: 1001005 – 1863000160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Model: 62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 xml:space="preserve">Poziv na broj: 7005-47107-100935    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Iznos: 2.000,00 kn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 xml:space="preserve">2. UPLATA DRŽAVNE PRISTOJBE 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Primatelj : DRŽAVNI PRORAČUN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Svrha uplate: Uplata državne pristojbe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Broj žiro-računa: 1001005 – 1863000160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 xml:space="preserve">Model: 64    </w:t>
      </w:r>
    </w:p>
    <w:p w:rsidR="00351184" w:rsidRPr="00702C51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Poziv na broj: 5002-47107- OIB (uplatitelja)</w:t>
      </w:r>
    </w:p>
    <w:p w:rsidR="00351184" w:rsidRDefault="00351184" w:rsidP="00351184">
      <w:pPr>
        <w:jc w:val="both"/>
        <w:rPr>
          <w:rFonts w:ascii="Times New Roman" w:hAnsi="Times New Roman" w:cs="Times New Roman"/>
          <w:sz w:val="24"/>
          <w:szCs w:val="24"/>
        </w:rPr>
      </w:pPr>
      <w:r w:rsidRPr="00702C51">
        <w:rPr>
          <w:rFonts w:ascii="Times New Roman" w:hAnsi="Times New Roman" w:cs="Times New Roman"/>
          <w:sz w:val="24"/>
          <w:szCs w:val="24"/>
        </w:rPr>
        <w:t>Iznos: 300,00 kn</w:t>
      </w:r>
    </w:p>
    <w:p w:rsidR="00702C51" w:rsidRDefault="00702C51" w:rsidP="003511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ED"/>
    <w:multiLevelType w:val="hybridMultilevel"/>
    <w:tmpl w:val="CCCC4708"/>
    <w:lvl w:ilvl="0" w:tplc="063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35A02"/>
    <w:multiLevelType w:val="hybridMultilevel"/>
    <w:tmpl w:val="AC62DE3A"/>
    <w:lvl w:ilvl="0" w:tplc="6524B4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36"/>
    <w:rsid w:val="00137763"/>
    <w:rsid w:val="00145758"/>
    <w:rsid w:val="001F15D1"/>
    <w:rsid w:val="00314BA3"/>
    <w:rsid w:val="00351184"/>
    <w:rsid w:val="004969BA"/>
    <w:rsid w:val="00702C51"/>
    <w:rsid w:val="00711F5D"/>
    <w:rsid w:val="00767F13"/>
    <w:rsid w:val="00902AD3"/>
    <w:rsid w:val="00AC5363"/>
    <w:rsid w:val="00BE4F36"/>
    <w:rsid w:val="00F36646"/>
    <w:rsid w:val="00F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BE4F36"/>
    <w:rPr>
      <w:i/>
      <w:iCs/>
    </w:rPr>
  </w:style>
  <w:style w:type="paragraph" w:styleId="Odlomakpopisa">
    <w:name w:val="List Paragraph"/>
    <w:basedOn w:val="Normal"/>
    <w:uiPriority w:val="34"/>
    <w:qFormat/>
    <w:rsid w:val="00F36646"/>
    <w:pPr>
      <w:ind w:left="720"/>
      <w:contextualSpacing/>
    </w:pPr>
  </w:style>
  <w:style w:type="paragraph" w:customStyle="1" w:styleId="t-9-8">
    <w:name w:val="t-9-8"/>
    <w:basedOn w:val="Normal"/>
    <w:rsid w:val="001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45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BE4F36"/>
    <w:rPr>
      <w:i/>
      <w:iCs/>
    </w:rPr>
  </w:style>
  <w:style w:type="paragraph" w:styleId="Odlomakpopisa">
    <w:name w:val="List Paragraph"/>
    <w:basedOn w:val="Normal"/>
    <w:uiPriority w:val="34"/>
    <w:qFormat/>
    <w:rsid w:val="00F36646"/>
    <w:pPr>
      <w:ind w:left="720"/>
      <w:contextualSpacing/>
    </w:pPr>
  </w:style>
  <w:style w:type="paragraph" w:customStyle="1" w:styleId="t-9-8">
    <w:name w:val="t-9-8"/>
    <w:basedOn w:val="Normal"/>
    <w:rsid w:val="001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4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1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4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isterofquestions.efsa.europa.eu/roqFrontend/questionsListLoader?panel=NDA&amp;foodsectorarea=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daci.prehrani@m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Pašalić</dc:creator>
  <cp:lastModifiedBy>Marija Pašalić</cp:lastModifiedBy>
  <cp:revision>6</cp:revision>
  <dcterms:created xsi:type="dcterms:W3CDTF">2013-03-26T12:49:00Z</dcterms:created>
  <dcterms:modified xsi:type="dcterms:W3CDTF">2013-04-03T07:22:00Z</dcterms:modified>
</cp:coreProperties>
</file>